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3A58427F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DA7040">
        <w:rPr>
          <w:rFonts w:ascii="Times New Roman" w:hAnsi="Times New Roman" w:cs="Times New Roman"/>
          <w:sz w:val="28"/>
          <w:szCs w:val="28"/>
        </w:rPr>
        <w:t>24.01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DA7040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5517B20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873A4A">
        <w:rPr>
          <w:sz w:val="28"/>
          <w:szCs w:val="28"/>
        </w:rPr>
        <w:t>распоряжение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</w:t>
      </w:r>
      <w:r w:rsidR="009F681B">
        <w:rPr>
          <w:sz w:val="28"/>
          <w:szCs w:val="28"/>
        </w:rPr>
        <w:t>ипального округа Пермского края</w:t>
      </w:r>
      <w:r w:rsidR="00DF4E8D" w:rsidRPr="00DF4E8D">
        <w:rPr>
          <w:sz w:val="28"/>
          <w:szCs w:val="28"/>
        </w:rPr>
        <w:t xml:space="preserve"> </w:t>
      </w:r>
      <w:r w:rsidR="00DA7040">
        <w:rPr>
          <w:sz w:val="28"/>
          <w:szCs w:val="28"/>
        </w:rPr>
        <w:t>от 16.12.2024 № 4303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C50F70" w14:textId="38EF7FF3" w:rsidR="00DA7040" w:rsidRDefault="00344F6E" w:rsidP="00DA7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DA704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71394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выпас сельскохозяйственных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Кадастровый номер: 59:32:4370001:114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10 лет.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</w:t>
      </w:r>
      <w:r w:rsidR="008E7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 в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зоне ВЛ-10КВ Ф.14 ПС «ЮГО-КАМСК», частично расположен в зоне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  <w:t>с особыми условиями использования территории (публичный сервитут).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52 800,00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пятьдесят две тысячи восемьсот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A7040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Задаток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52 800,00</w:t>
      </w:r>
      <w:r w:rsidR="00131BEA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пятьдесят две тысячи восемьсот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7EE2EA1" w14:textId="52DC9459" w:rsidR="00DA7040" w:rsidRDefault="00DA7040" w:rsidP="00DA70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 на землях, отнесенных к сельскохозяйственным угодьям.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6 ст. 36 Градостроительного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земель, отнесенных к сельскохозяйственным угодьям,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земель с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ельскохозяйственного назначения г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радостроительные регламенты не устанавливаются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предоставляется без права строительства.</w:t>
      </w:r>
    </w:p>
    <w:p w14:paraId="277FA28B" w14:textId="77777777" w:rsidR="00DA7040" w:rsidRDefault="00DA7040" w:rsidP="00DA704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 разрешенного использования земельного участка не предполагает строительство капитальных объектов на участке. Описание вида: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ыпас сельскохозяйственных животных</w:t>
      </w: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A4362" w14:textId="77777777" w:rsidR="00DA7040" w:rsidRDefault="00DA7040" w:rsidP="00352F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72A8507" w14:textId="43CFA7EF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F2E41F1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 w:rsidR="000818D1">
        <w:rPr>
          <w:rFonts w:ascii="Times New Roman" w:hAnsi="Times New Roman" w:cs="Times New Roman"/>
          <w:sz w:val="28"/>
          <w:szCs w:val="28"/>
        </w:rPr>
        <w:t>ОКТМО 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323ED15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0818D1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07C7E8E8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7BE9A63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131BEA">
        <w:rPr>
          <w:rFonts w:ascii="Times New Roman" w:hAnsi="Times New Roman" w:cs="Times New Roman"/>
          <w:sz w:val="28"/>
          <w:szCs w:val="28"/>
        </w:rPr>
        <w:t>19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131BEA">
        <w:rPr>
          <w:rFonts w:ascii="Times New Roman" w:hAnsi="Times New Roman" w:cs="Times New Roman"/>
          <w:sz w:val="28"/>
          <w:szCs w:val="28"/>
        </w:rPr>
        <w:t>декабря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1F735E4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131BEA">
        <w:rPr>
          <w:rFonts w:ascii="Times New Roman" w:hAnsi="Times New Roman" w:cs="Times New Roman"/>
          <w:sz w:val="28"/>
          <w:szCs w:val="28"/>
        </w:rPr>
        <w:t>20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31BEA">
        <w:rPr>
          <w:rFonts w:ascii="Times New Roman" w:hAnsi="Times New Roman" w:cs="Times New Roman"/>
          <w:sz w:val="28"/>
          <w:szCs w:val="28"/>
        </w:rPr>
        <w:t>января</w:t>
      </w:r>
      <w:r w:rsidR="00147FD3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131BEA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25F13CAA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960C3F">
        <w:rPr>
          <w:rFonts w:ascii="Times New Roman" w:hAnsi="Times New Roman" w:cs="Times New Roman"/>
          <w:sz w:val="28"/>
          <w:szCs w:val="28"/>
        </w:rPr>
        <w:t>23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131BEA">
        <w:rPr>
          <w:rFonts w:ascii="Times New Roman" w:hAnsi="Times New Roman" w:cs="Times New Roman"/>
          <w:sz w:val="28"/>
          <w:szCs w:val="28"/>
        </w:rPr>
        <w:t>января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464F33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960C3F">
        <w:rPr>
          <w:rFonts w:ascii="Times New Roman" w:hAnsi="Times New Roman" w:cs="Times New Roman"/>
          <w:sz w:val="28"/>
          <w:szCs w:val="28"/>
        </w:rPr>
        <w:t>24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131BEA">
        <w:rPr>
          <w:rFonts w:ascii="Times New Roman" w:hAnsi="Times New Roman" w:cs="Times New Roman"/>
          <w:sz w:val="28"/>
          <w:szCs w:val="28"/>
        </w:rPr>
        <w:t>января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 xml:space="preserve">атору </w:t>
      </w:r>
      <w:r w:rsidR="00807B3D">
        <w:rPr>
          <w:rFonts w:ascii="Times New Roman" w:hAnsi="Times New Roman" w:cs="Times New Roman"/>
          <w:sz w:val="28"/>
          <w:szCs w:val="28"/>
        </w:rPr>
        <w:lastRenderedPageBreak/>
        <w:t>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5405F"/>
    <w:rsid w:val="00062137"/>
    <w:rsid w:val="00063DA9"/>
    <w:rsid w:val="00077CF6"/>
    <w:rsid w:val="000818D1"/>
    <w:rsid w:val="00082C27"/>
    <w:rsid w:val="000862D2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1BE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D656B"/>
    <w:rsid w:val="001E5BA8"/>
    <w:rsid w:val="001E7E95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44AA"/>
    <w:rsid w:val="00290039"/>
    <w:rsid w:val="002A2A67"/>
    <w:rsid w:val="002C4EF1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44F6E"/>
    <w:rsid w:val="00352F7B"/>
    <w:rsid w:val="00380983"/>
    <w:rsid w:val="00383499"/>
    <w:rsid w:val="00385663"/>
    <w:rsid w:val="003963B7"/>
    <w:rsid w:val="003A63F2"/>
    <w:rsid w:val="003D2A18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A07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1CB4"/>
    <w:rsid w:val="0050535F"/>
    <w:rsid w:val="0051137F"/>
    <w:rsid w:val="00535278"/>
    <w:rsid w:val="00540516"/>
    <w:rsid w:val="005C056E"/>
    <w:rsid w:val="005D731B"/>
    <w:rsid w:val="005E4EF5"/>
    <w:rsid w:val="006001D2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6F256F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2957"/>
    <w:rsid w:val="007D300E"/>
    <w:rsid w:val="007D56C6"/>
    <w:rsid w:val="007F153F"/>
    <w:rsid w:val="007F260A"/>
    <w:rsid w:val="007F5C33"/>
    <w:rsid w:val="007F64AD"/>
    <w:rsid w:val="00800360"/>
    <w:rsid w:val="008042B1"/>
    <w:rsid w:val="00807B3D"/>
    <w:rsid w:val="008255EF"/>
    <w:rsid w:val="00831555"/>
    <w:rsid w:val="00843201"/>
    <w:rsid w:val="008635AE"/>
    <w:rsid w:val="00873A4A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E788D"/>
    <w:rsid w:val="008F2214"/>
    <w:rsid w:val="008F231C"/>
    <w:rsid w:val="00905922"/>
    <w:rsid w:val="0094481C"/>
    <w:rsid w:val="00946C9A"/>
    <w:rsid w:val="0095188A"/>
    <w:rsid w:val="00960C3F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077C9"/>
    <w:rsid w:val="00B12CF1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34433"/>
    <w:rsid w:val="00D4354D"/>
    <w:rsid w:val="00D578FC"/>
    <w:rsid w:val="00D634E5"/>
    <w:rsid w:val="00D65755"/>
    <w:rsid w:val="00D878FE"/>
    <w:rsid w:val="00D9066D"/>
    <w:rsid w:val="00DA7040"/>
    <w:rsid w:val="00DB2199"/>
    <w:rsid w:val="00DC715C"/>
    <w:rsid w:val="00DE0FCF"/>
    <w:rsid w:val="00DE3BAC"/>
    <w:rsid w:val="00DF26FA"/>
    <w:rsid w:val="00DF4E8D"/>
    <w:rsid w:val="00E000B3"/>
    <w:rsid w:val="00E0479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562E-769E-4831-820D-3B057CDD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16</cp:revision>
  <cp:lastPrinted>2024-01-29T10:35:00Z</cp:lastPrinted>
  <dcterms:created xsi:type="dcterms:W3CDTF">2024-11-19T05:25:00Z</dcterms:created>
  <dcterms:modified xsi:type="dcterms:W3CDTF">2024-12-18T09:27:00Z</dcterms:modified>
</cp:coreProperties>
</file>